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7B2" w:rsidRPr="006E3E33" w:rsidRDefault="006E3E33" w:rsidP="006E3E33">
      <w:pPr>
        <w:jc w:val="center"/>
        <w:rPr>
          <w:b/>
          <w:sz w:val="28"/>
          <w:szCs w:val="28"/>
        </w:rPr>
      </w:pPr>
      <w:r w:rsidRPr="006E3E33">
        <w:rPr>
          <w:b/>
          <w:sz w:val="28"/>
          <w:szCs w:val="28"/>
        </w:rPr>
        <w:t>Dotaz vysvětlení zadávací dokumentace AZYLOVÝ DŮM ASTRAS-Rekonstrukce sociálního zázemí objektu</w:t>
      </w:r>
    </w:p>
    <w:p w:rsidR="006E3E33" w:rsidRDefault="006E3E33"/>
    <w:p w:rsidR="006E3E33" w:rsidRDefault="006E3E33" w:rsidP="006E3E33">
      <w:r>
        <w:t>Dobrý den,</w:t>
      </w:r>
    </w:p>
    <w:p w:rsidR="006E3E33" w:rsidRDefault="006E3E33" w:rsidP="006E3E33"/>
    <w:p w:rsidR="006E3E33" w:rsidRDefault="006E3E33" w:rsidP="006E3E33">
      <w:r>
        <w:t>mám dotazy k těmto položkám</w:t>
      </w:r>
      <w:bookmarkStart w:id="0" w:name="_GoBack"/>
      <w:bookmarkEnd w:id="0"/>
      <w:r>
        <w:t>:</w:t>
      </w:r>
    </w:p>
    <w:p w:rsidR="006E3E33" w:rsidRDefault="006E3E33" w:rsidP="006E3E33"/>
    <w:p w:rsidR="006E3E33" w:rsidRDefault="006E3E33" w:rsidP="006E3E33">
      <w:pPr>
        <w:pStyle w:val="Odstavecseseznamem"/>
        <w:numPr>
          <w:ilvl w:val="0"/>
          <w:numId w:val="1"/>
        </w:numPr>
      </w:pPr>
      <w:r w:rsidRPr="006E3E33">
        <w:rPr>
          <w:b/>
        </w:rPr>
        <w:t>Rozpočet 2021038-001</w:t>
      </w:r>
      <w:r w:rsidRPr="006E3E33">
        <w:rPr>
          <w:b/>
        </w:rPr>
        <w:tab/>
      </w:r>
      <w:r w:rsidRPr="006E3E33">
        <w:rPr>
          <w:b/>
        </w:rPr>
        <w:tab/>
        <w:t>VV soc. zařízení 1-3 NP</w:t>
      </w:r>
      <w:r>
        <w:tab/>
      </w:r>
      <w:r>
        <w:tab/>
      </w:r>
      <w:r>
        <w:rPr>
          <w:b/>
        </w:rPr>
        <w:t>položka 19</w:t>
      </w:r>
      <w:r>
        <w:tab/>
        <w:t>asi zaměněny</w:t>
      </w:r>
      <w:r>
        <w:tab/>
        <w:t xml:space="preserve"> </w:t>
      </w:r>
      <w:r>
        <w:rPr>
          <w:b/>
          <w:color w:val="FF0000"/>
        </w:rPr>
        <w:t>m2 a m3</w:t>
      </w:r>
    </w:p>
    <w:p w:rsidR="006E3E33" w:rsidRDefault="006E3E33" w:rsidP="006E3E33"/>
    <w:p w:rsidR="006E3E33" w:rsidRDefault="006E3E33" w:rsidP="006E3E33">
      <w:r>
        <w:tab/>
      </w:r>
      <w:r>
        <w:tab/>
      </w:r>
      <w:r>
        <w:tab/>
      </w:r>
    </w:p>
    <w:tbl>
      <w:tblPr>
        <w:tblW w:w="7560" w:type="dxa"/>
        <w:tblInd w:w="-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60"/>
        <w:gridCol w:w="4140"/>
        <w:gridCol w:w="520"/>
        <w:gridCol w:w="1160"/>
      </w:tblGrid>
      <w:tr w:rsidR="006E3E33" w:rsidTr="006E3E33">
        <w:trPr>
          <w:trHeight w:val="264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632413150R00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Potěr ze SMS </w:t>
            </w: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Knauf</w:t>
            </w:r>
            <w:proofErr w:type="spellEnd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, ruční zpracování, </w:t>
            </w: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tl</w:t>
            </w:r>
            <w:proofErr w:type="spellEnd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. 50 mm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center"/>
              <w:outlineLvl w:val="0"/>
              <w:rPr>
                <w:rFonts w:ascii="Arial CE" w:eastAsia="Times New Roman" w:hAnsi="Arial CE" w:cs="Arial CE"/>
                <w:b/>
                <w:color w:val="FF0000"/>
                <w:sz w:val="18"/>
                <w:szCs w:val="18"/>
                <w:lang w:eastAsia="cs-CZ"/>
              </w:rPr>
            </w:pPr>
            <w:r>
              <w:rPr>
                <w:rFonts w:ascii="Arial CE" w:eastAsia="Times New Roman" w:hAnsi="Arial CE" w:cs="Arial CE"/>
                <w:b/>
                <w:color w:val="FF0000"/>
                <w:sz w:val="18"/>
                <w:szCs w:val="18"/>
                <w:lang w:eastAsia="cs-CZ"/>
              </w:rPr>
              <w:t>?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1,64600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1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104 : 4,87</w:t>
            </w:r>
            <w:r>
              <w:rPr>
                <w:rFonts w:ascii="Arial CE" w:eastAsia="Times New Roman" w:hAnsi="Arial CE" w:cs="Arial CE"/>
                <w:b/>
                <w:color w:val="FF0000"/>
                <w:sz w:val="16"/>
                <w:szCs w:val="16"/>
                <w:lang w:eastAsia="cs-CZ"/>
              </w:rPr>
              <w:t>*0,05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1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0,24000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115 : 3,5*0,5*</w:t>
            </w:r>
            <w:r>
              <w:rPr>
                <w:rFonts w:ascii="Arial CE" w:eastAsia="Times New Roman" w:hAnsi="Arial CE" w:cs="Arial CE"/>
                <w:b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0,09000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213 : 13,12*</w:t>
            </w:r>
            <w:r>
              <w:rPr>
                <w:rFonts w:ascii="Arial CE" w:eastAsia="Times New Roman" w:hAnsi="Arial CE" w:cs="Arial CE"/>
                <w:b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0,66000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313 : 13,18*</w:t>
            </w:r>
            <w:r>
              <w:rPr>
                <w:rFonts w:ascii="Arial CE" w:eastAsia="Times New Roman" w:hAnsi="Arial CE" w:cs="Arial CE"/>
                <w:b/>
                <w:color w:val="FF0000"/>
                <w:sz w:val="16"/>
                <w:szCs w:val="16"/>
                <w:lang w:eastAsia="cs-CZ"/>
              </w:rPr>
              <w:t>0,05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0,66000</w:t>
            </w:r>
          </w:p>
        </w:tc>
      </w:tr>
    </w:tbl>
    <w:p w:rsidR="006E3E33" w:rsidRDefault="006E3E33" w:rsidP="006E3E33"/>
    <w:p w:rsidR="006E3E33" w:rsidRDefault="006E3E33" w:rsidP="006E3E33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6E3E33">
        <w:rPr>
          <w:b/>
        </w:rPr>
        <w:t>Rozpočet  2021038-001</w:t>
      </w:r>
      <w:r w:rsidRPr="006E3E33">
        <w:rPr>
          <w:b/>
        </w:rPr>
        <w:tab/>
      </w:r>
      <w:r w:rsidRPr="006E3E33">
        <w:rPr>
          <w:b/>
        </w:rPr>
        <w:tab/>
        <w:t>VV soc. zařízení 1-3 NP</w:t>
      </w:r>
      <w:r>
        <w:tab/>
      </w:r>
      <w:r>
        <w:tab/>
      </w:r>
      <w:r>
        <w:rPr>
          <w:b/>
        </w:rPr>
        <w:t>položka 26</w:t>
      </w:r>
      <w:r>
        <w:rPr>
          <w:b/>
        </w:rPr>
        <w:tab/>
      </w:r>
      <w:r>
        <w:t>ve výpočtu výměr v m. č. 113</w:t>
      </w:r>
      <w:r>
        <w:tab/>
        <w:t xml:space="preserve">asi chybí desetinná čárka </w:t>
      </w:r>
      <w:r>
        <w:rPr>
          <w:b/>
          <w:color w:val="FF0000"/>
          <w:sz w:val="24"/>
          <w:szCs w:val="24"/>
        </w:rPr>
        <w:t>1,97</w:t>
      </w:r>
      <w:r>
        <w:rPr>
          <w:b/>
          <w:sz w:val="24"/>
          <w:szCs w:val="24"/>
        </w:rPr>
        <w:tab/>
        <w:t>m</w:t>
      </w:r>
    </w:p>
    <w:p w:rsidR="006E3E33" w:rsidRDefault="006E3E33" w:rsidP="006E3E33">
      <w:pPr>
        <w:pStyle w:val="Odstavecseseznamem"/>
        <w:rPr>
          <w:b/>
          <w:sz w:val="24"/>
          <w:szCs w:val="24"/>
        </w:rPr>
      </w:pPr>
    </w:p>
    <w:p w:rsidR="006E3E33" w:rsidRDefault="006E3E33" w:rsidP="006E3E33"/>
    <w:tbl>
      <w:tblPr>
        <w:tblW w:w="7560" w:type="dxa"/>
        <w:tblInd w:w="-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60"/>
        <w:gridCol w:w="4140"/>
        <w:gridCol w:w="520"/>
        <w:gridCol w:w="1160"/>
      </w:tblGrid>
      <w:tr w:rsidR="006E3E33" w:rsidTr="006E3E33">
        <w:trPr>
          <w:trHeight w:val="408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bookmarkStart w:id="1" w:name="_MailAutoSig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962031124R00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Bourání příček z cihel pálených děrovaných, tloušťky 115 mm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b/>
                <w:color w:val="FF0000"/>
                <w:sz w:val="18"/>
                <w:szCs w:val="18"/>
                <w:lang w:eastAsia="cs-CZ"/>
              </w:rPr>
            </w:pPr>
            <w:r>
              <w:rPr>
                <w:rFonts w:ascii="Arial CE" w:eastAsia="Times New Roman" w:hAnsi="Arial CE" w:cs="Arial CE"/>
                <w:b/>
                <w:color w:val="FF0000"/>
                <w:sz w:val="18"/>
                <w:szCs w:val="18"/>
                <w:lang w:eastAsia="cs-CZ"/>
              </w:rPr>
              <w:t>-61,65090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1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103 : 2,68*3,34-0,8*1,97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1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7,38000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104 : 1,05*2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2,10000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105 : 0,1*2,01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0,20000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106 : 1*2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2,00000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113 : 1,325*3,34-0,6</w:t>
            </w:r>
            <w:r>
              <w:rPr>
                <w:rFonts w:ascii="Arial CE" w:eastAsia="Times New Roman" w:hAnsi="Arial CE" w:cs="Arial CE"/>
                <w:b/>
                <w:color w:val="FF0000"/>
                <w:sz w:val="16"/>
                <w:szCs w:val="16"/>
                <w:lang w:eastAsia="cs-CZ"/>
              </w:rPr>
              <w:t>*197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b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b/>
                <w:color w:val="FF0000"/>
                <w:sz w:val="16"/>
                <w:szCs w:val="16"/>
                <w:lang w:eastAsia="cs-CZ"/>
              </w:rPr>
              <w:t>-113,77000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120 : 2,05*3,34-0,6*1,97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5,67000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202 : 2,68*3,34-0,8*1,97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7,38000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204 : 1,65*3,34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5,51000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205 : 1,65*3,34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5,51000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213 : (1+0,9)*0,1*2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0,38000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302 : 2,68*3,34-0,8*1,97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7,38000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304,305 : 1,65*2,5*2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8,25000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hideMark/>
          </w:tcPr>
          <w:p w:rsidR="006E3E33" w:rsidRDefault="006E3E33">
            <w:pPr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313 : (1+0,9)*0,1*2</w:t>
            </w:r>
          </w:p>
        </w:tc>
        <w:tc>
          <w:tcPr>
            <w:tcW w:w="520" w:type="dxa"/>
            <w:hideMark/>
          </w:tcPr>
          <w:p w:rsidR="006E3E33" w:rsidRDefault="006E3E33"/>
        </w:tc>
        <w:tc>
          <w:tcPr>
            <w:tcW w:w="1160" w:type="dxa"/>
            <w:hideMark/>
          </w:tcPr>
          <w:p w:rsidR="006E3E33" w:rsidRDefault="006E3E33">
            <w:pPr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0,38000</w:t>
            </w:r>
          </w:p>
        </w:tc>
      </w:tr>
    </w:tbl>
    <w:p w:rsidR="006E3E33" w:rsidRPr="006E3E33" w:rsidRDefault="006E3E33" w:rsidP="006E3E33">
      <w:pPr>
        <w:pStyle w:val="Odstavecseseznamem"/>
        <w:numPr>
          <w:ilvl w:val="0"/>
          <w:numId w:val="1"/>
        </w:numPr>
        <w:rPr>
          <w:rFonts w:eastAsiaTheme="minorEastAsia"/>
          <w:noProof/>
          <w:lang w:eastAsia="cs-CZ"/>
        </w:rPr>
      </w:pPr>
      <w:r w:rsidRPr="006E3E33">
        <w:rPr>
          <w:rFonts w:eastAsiaTheme="minorEastAsia"/>
          <w:b/>
          <w:noProof/>
          <w:lang w:eastAsia="cs-CZ"/>
        </w:rPr>
        <w:t>Rozpočet  2021038-004</w:t>
      </w:r>
      <w:r w:rsidRPr="006E3E33">
        <w:rPr>
          <w:rFonts w:eastAsiaTheme="minorEastAsia"/>
          <w:b/>
          <w:noProof/>
          <w:lang w:eastAsia="cs-CZ"/>
        </w:rPr>
        <w:tab/>
      </w:r>
      <w:r w:rsidRPr="006E3E33">
        <w:rPr>
          <w:rFonts w:eastAsiaTheme="minorEastAsia"/>
          <w:b/>
          <w:noProof/>
          <w:lang w:eastAsia="cs-CZ"/>
        </w:rPr>
        <w:tab/>
        <w:t>Elektro</w:t>
      </w:r>
      <w:r>
        <w:rPr>
          <w:rFonts w:eastAsiaTheme="minorEastAsia"/>
          <w:noProof/>
          <w:lang w:eastAsia="cs-CZ"/>
        </w:rPr>
        <w:tab/>
      </w:r>
      <w:r>
        <w:rPr>
          <w:rFonts w:eastAsiaTheme="minorEastAsia"/>
          <w:noProof/>
          <w:lang w:eastAsia="cs-CZ"/>
        </w:rPr>
        <w:tab/>
      </w:r>
      <w:r>
        <w:rPr>
          <w:rFonts w:eastAsiaTheme="minorEastAsia"/>
          <w:noProof/>
          <w:lang w:eastAsia="cs-CZ"/>
        </w:rPr>
        <w:tab/>
      </w:r>
      <w:r>
        <w:rPr>
          <w:rFonts w:eastAsiaTheme="minorEastAsia"/>
          <w:noProof/>
          <w:lang w:eastAsia="cs-CZ"/>
        </w:rPr>
        <w:tab/>
      </w:r>
      <w:r>
        <w:rPr>
          <w:rFonts w:eastAsiaTheme="minorEastAsia"/>
          <w:b/>
          <w:noProof/>
          <w:lang w:eastAsia="cs-CZ"/>
        </w:rPr>
        <w:t>položka 41</w:t>
      </w:r>
      <w:r>
        <w:rPr>
          <w:rFonts w:eastAsiaTheme="minorEastAsia"/>
          <w:b/>
          <w:noProof/>
          <w:lang w:eastAsia="cs-CZ"/>
        </w:rPr>
        <w:tab/>
      </w:r>
    </w:p>
    <w:p w:rsidR="006E3E33" w:rsidRDefault="006E3E33" w:rsidP="006E3E33">
      <w:pPr>
        <w:pStyle w:val="Odstavecseseznamem"/>
        <w:rPr>
          <w:rFonts w:eastAsiaTheme="minorEastAsia"/>
          <w:noProof/>
          <w:lang w:eastAsia="cs-CZ"/>
        </w:rPr>
      </w:pPr>
      <w:r>
        <w:rPr>
          <w:rFonts w:eastAsiaTheme="minorEastAsia"/>
          <w:b/>
          <w:noProof/>
          <w:lang w:eastAsia="cs-CZ"/>
        </w:rPr>
        <w:tab/>
      </w:r>
      <w:r>
        <w:rPr>
          <w:rFonts w:eastAsiaTheme="minorEastAsia"/>
          <w:b/>
          <w:noProof/>
          <w:lang w:eastAsia="cs-CZ"/>
        </w:rPr>
        <w:tab/>
      </w:r>
      <w:r>
        <w:rPr>
          <w:rFonts w:eastAsiaTheme="minorEastAsia"/>
          <w:b/>
          <w:noProof/>
          <w:lang w:eastAsia="cs-CZ"/>
        </w:rPr>
        <w:tab/>
        <w:t>nerozumím textu a počtům</w:t>
      </w:r>
      <w:r>
        <w:rPr>
          <w:rFonts w:eastAsiaTheme="minorEastAsia"/>
          <w:b/>
          <w:noProof/>
          <w:lang w:eastAsia="cs-CZ"/>
        </w:rPr>
        <w:tab/>
      </w:r>
    </w:p>
    <w:p w:rsidR="006E3E33" w:rsidRDefault="006E3E33" w:rsidP="006E3E33">
      <w:pPr>
        <w:rPr>
          <w:rFonts w:eastAsiaTheme="minorEastAsia"/>
          <w:noProof/>
          <w:lang w:eastAsia="cs-CZ"/>
        </w:rPr>
      </w:pPr>
    </w:p>
    <w:tbl>
      <w:tblPr>
        <w:tblW w:w="12054" w:type="dxa"/>
        <w:tblInd w:w="-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60"/>
        <w:gridCol w:w="8188"/>
        <w:gridCol w:w="567"/>
        <w:gridCol w:w="1559"/>
      </w:tblGrid>
      <w:tr w:rsidR="006E3E33" w:rsidTr="006E3E33">
        <w:trPr>
          <w:trHeight w:val="612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8188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36"/>
                <w:szCs w:val="36"/>
                <w:lang w:eastAsia="cs-CZ"/>
              </w:rPr>
            </w:pPr>
            <w:r>
              <w:rPr>
                <w:rFonts w:ascii="Arial CE" w:eastAsia="Times New Roman" w:hAnsi="Arial CE" w:cs="Arial CE"/>
                <w:sz w:val="36"/>
                <w:szCs w:val="36"/>
                <w:lang w:eastAsia="cs-CZ"/>
              </w:rPr>
              <w:t>Instalace svítidel; dodávka svítidel není předmětem obsahu specifikace. Tyto budou řešeny, samostatným rozpočtem v rozsahu architektem specifikovaných těles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kmpl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29,00000</w:t>
            </w:r>
          </w:p>
        </w:tc>
      </w:tr>
    </w:tbl>
    <w:p w:rsidR="006E3E33" w:rsidRDefault="006E3E33" w:rsidP="006E3E33">
      <w:pPr>
        <w:rPr>
          <w:rFonts w:eastAsiaTheme="minorEastAsia"/>
          <w:noProof/>
          <w:lang w:eastAsia="cs-CZ"/>
        </w:rPr>
      </w:pPr>
    </w:p>
    <w:p w:rsidR="006E3E33" w:rsidRDefault="006E3E33" w:rsidP="006E3E33">
      <w:pPr>
        <w:rPr>
          <w:rFonts w:eastAsiaTheme="minorEastAsia"/>
          <w:noProof/>
          <w:lang w:eastAsia="cs-CZ"/>
        </w:rPr>
      </w:pPr>
      <w:r>
        <w:rPr>
          <w:rFonts w:eastAsiaTheme="minorEastAsia"/>
          <w:noProof/>
          <w:lang w:eastAsia="cs-CZ"/>
        </w:rPr>
        <w:t>a výše v rozpočtu</w:t>
      </w:r>
    </w:p>
    <w:p w:rsidR="006E3E33" w:rsidRDefault="006E3E33" w:rsidP="006E3E33">
      <w:pPr>
        <w:rPr>
          <w:rFonts w:eastAsiaTheme="minorEastAsia"/>
          <w:noProof/>
          <w:lang w:eastAsia="cs-CZ"/>
        </w:rPr>
      </w:pPr>
    </w:p>
    <w:tbl>
      <w:tblPr>
        <w:tblW w:w="7560" w:type="dxa"/>
        <w:tblInd w:w="-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60"/>
        <w:gridCol w:w="4140"/>
        <w:gridCol w:w="520"/>
        <w:gridCol w:w="1160"/>
      </w:tblGrid>
      <w:tr w:rsidR="006E3E33" w:rsidTr="006E3E33">
        <w:trPr>
          <w:trHeight w:val="816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A -Řadové plastové interiérové LED svítidlo na přisazení ke stropu nebo na stěnu se základnou z ocelového plechu a difuzorem z </w:t>
            </w: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translucentního</w:t>
            </w:r>
            <w:proofErr w:type="spellEnd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</w:t>
            </w:r>
            <w:proofErr w:type="spellStart"/>
            <w:proofErr w:type="gram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polykarbonátu.Světelný</w:t>
            </w:r>
            <w:proofErr w:type="spellEnd"/>
            <w:proofErr w:type="gramEnd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tok svítidla 4170lm, příkon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kmpl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2,00000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noWrap/>
            <w:hideMark/>
          </w:tcPr>
          <w:p w:rsidR="006E3E33" w:rsidRDefault="006E3E33"/>
        </w:tc>
        <w:tc>
          <w:tcPr>
            <w:tcW w:w="1360" w:type="dxa"/>
            <w:noWrap/>
            <w:hideMark/>
          </w:tcPr>
          <w:p w:rsidR="006E3E33" w:rsidRDefault="006E3E33"/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E3E33" w:rsidRDefault="006E3E33">
            <w:pPr>
              <w:outlineLvl w:val="1"/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cs-CZ"/>
              </w:rPr>
              <w:t>31W, IP40, rozměry 1170x146mm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E3E33" w:rsidRDefault="006E3E33">
            <w:pPr>
              <w:outlineLvl w:val="1"/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E3E33" w:rsidRDefault="006E3E33">
            <w:pPr>
              <w:outlineLvl w:val="1"/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cs-CZ"/>
              </w:rPr>
              <w:t> </w:t>
            </w:r>
          </w:p>
        </w:tc>
      </w:tr>
      <w:tr w:rsidR="006E3E33" w:rsidTr="006E3E33">
        <w:trPr>
          <w:trHeight w:val="816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4" w:space="0" w:color="808080"/>
            </w:tcBorders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B - Řadové plastové interiérové LED svítidlo na přisazení ke stropu nebo na stěnu se základnou z ocelového plechu a difuzorem z </w:t>
            </w: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translucentního</w:t>
            </w:r>
            <w:proofErr w:type="spellEnd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</w:t>
            </w:r>
            <w:proofErr w:type="spellStart"/>
            <w:proofErr w:type="gram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polykarbonátu.Světelný</w:t>
            </w:r>
            <w:proofErr w:type="spellEnd"/>
            <w:proofErr w:type="gramEnd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tok svítidla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kmpl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3,00000</w:t>
            </w:r>
          </w:p>
        </w:tc>
      </w:tr>
      <w:tr w:rsidR="006E3E33" w:rsidTr="006E3E33">
        <w:trPr>
          <w:trHeight w:val="816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lastRenderedPageBreak/>
              <w:t>35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C -Řadové plastové interiérové LED svítidlo na přisazení ke stropu nebo na stěnu se základnou z ocelového plechu a difuzorem z </w:t>
            </w: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translucentního</w:t>
            </w:r>
            <w:proofErr w:type="spellEnd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</w:t>
            </w:r>
            <w:proofErr w:type="spellStart"/>
            <w:proofErr w:type="gram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polykarbonátu.Světelný</w:t>
            </w:r>
            <w:proofErr w:type="spellEnd"/>
            <w:proofErr w:type="gramEnd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tok svítidla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kmpl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10,00000</w:t>
            </w:r>
          </w:p>
        </w:tc>
      </w:tr>
      <w:tr w:rsidR="006E3E33" w:rsidTr="006E3E33">
        <w:trPr>
          <w:trHeight w:val="264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D - Stropní nebo </w:t>
            </w: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nástěné</w:t>
            </w:r>
            <w:proofErr w:type="spellEnd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LED svítidlo, LED 20W, 4000K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kmpl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11,00000</w:t>
            </w:r>
          </w:p>
        </w:tc>
      </w:tr>
      <w:tr w:rsidR="006E3E33" w:rsidTr="006E3E33">
        <w:trPr>
          <w:trHeight w:val="612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hideMark/>
          </w:tcPr>
          <w:p w:rsidR="006E3E33" w:rsidRDefault="006E3E33">
            <w:pPr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N1 - LED nouzové svítidlo a nouzové svítidlo s piktogramem LED 24W, IP65, </w:t>
            </w: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autotest</w:t>
            </w:r>
            <w:proofErr w:type="spellEnd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, nouzově svítící, doba zálohy 1hodina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kmpl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noWrap/>
            <w:hideMark/>
          </w:tcPr>
          <w:p w:rsidR="006E3E33" w:rsidRDefault="006E3E33">
            <w:pPr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10,00000</w:t>
            </w:r>
          </w:p>
        </w:tc>
      </w:tr>
    </w:tbl>
    <w:p w:rsidR="006E3E33" w:rsidRDefault="006E3E33" w:rsidP="006E3E33">
      <w:pPr>
        <w:rPr>
          <w:rFonts w:eastAsiaTheme="minorEastAsia"/>
          <w:b/>
          <w:noProof/>
          <w:lang w:eastAsia="cs-CZ"/>
        </w:rPr>
      </w:pPr>
      <w:r>
        <w:rPr>
          <w:rFonts w:eastAsiaTheme="minorEastAsia"/>
          <w:noProof/>
          <w:lang w:eastAsia="cs-CZ"/>
        </w:rPr>
        <w:tab/>
      </w:r>
      <w:r>
        <w:rPr>
          <w:rFonts w:eastAsiaTheme="minorEastAsia"/>
          <w:noProof/>
          <w:lang w:eastAsia="cs-CZ"/>
        </w:rPr>
        <w:tab/>
      </w:r>
      <w:r>
        <w:rPr>
          <w:rFonts w:eastAsiaTheme="minorEastAsia"/>
          <w:noProof/>
          <w:lang w:eastAsia="cs-CZ"/>
        </w:rPr>
        <w:tab/>
      </w:r>
      <w:r>
        <w:rPr>
          <w:rFonts w:eastAsiaTheme="minorEastAsia"/>
          <w:noProof/>
          <w:lang w:eastAsia="cs-CZ"/>
        </w:rPr>
        <w:tab/>
      </w:r>
      <w:r>
        <w:rPr>
          <w:rFonts w:eastAsiaTheme="minorEastAsia"/>
          <w:noProof/>
          <w:lang w:eastAsia="cs-CZ"/>
        </w:rPr>
        <w:tab/>
      </w:r>
      <w:r>
        <w:rPr>
          <w:rFonts w:eastAsiaTheme="minorEastAsia"/>
          <w:noProof/>
          <w:lang w:eastAsia="cs-CZ"/>
        </w:rPr>
        <w:tab/>
      </w:r>
      <w:r>
        <w:rPr>
          <w:rFonts w:eastAsiaTheme="minorEastAsia"/>
          <w:noProof/>
          <w:lang w:eastAsia="cs-CZ"/>
        </w:rPr>
        <w:tab/>
      </w:r>
      <w:r>
        <w:rPr>
          <w:rFonts w:eastAsiaTheme="minorEastAsia"/>
          <w:noProof/>
          <w:lang w:eastAsia="cs-CZ"/>
        </w:rPr>
        <w:tab/>
      </w:r>
      <w:r>
        <w:rPr>
          <w:rFonts w:eastAsiaTheme="minorEastAsia"/>
          <w:noProof/>
          <w:lang w:eastAsia="cs-CZ"/>
        </w:rPr>
        <w:tab/>
      </w:r>
      <w:r>
        <w:rPr>
          <w:rFonts w:eastAsiaTheme="minorEastAsia"/>
          <w:b/>
          <w:noProof/>
          <w:lang w:eastAsia="cs-CZ"/>
        </w:rPr>
        <w:t xml:space="preserve">     36,000 ks</w:t>
      </w:r>
    </w:p>
    <w:bookmarkEnd w:id="1"/>
    <w:p w:rsidR="006E3E33" w:rsidRDefault="006E3E33"/>
    <w:sectPr w:rsidR="006E3E33" w:rsidSect="006E3E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A6B87"/>
    <w:multiLevelType w:val="hybridMultilevel"/>
    <w:tmpl w:val="CDD6260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E33"/>
    <w:rsid w:val="000367B2"/>
    <w:rsid w:val="006E3E33"/>
    <w:rsid w:val="007044DB"/>
    <w:rsid w:val="00941852"/>
    <w:rsid w:val="00D5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953B"/>
  <w15:docId w15:val="{B2D54FE0-FD40-472F-B9F9-9DECBD8D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E3E3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3E3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1892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graja</dc:creator>
  <cp:lastModifiedBy>Kováčiková Mária</cp:lastModifiedBy>
  <cp:revision>2</cp:revision>
  <dcterms:created xsi:type="dcterms:W3CDTF">2024-03-19T07:22:00Z</dcterms:created>
  <dcterms:modified xsi:type="dcterms:W3CDTF">2024-03-19T07:22:00Z</dcterms:modified>
</cp:coreProperties>
</file>